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楷体" w:hAnsi="楷体" w:eastAsia="楷体" w:cs="楷体_GB2312"/>
          <w:szCs w:val="32"/>
        </w:rPr>
      </w:pPr>
      <w:r>
        <w:rPr>
          <w:rFonts w:hint="eastAsia" w:ascii="仿宋_GB2312"/>
          <w:szCs w:val="32"/>
        </w:rPr>
        <w:t>信农字〔2020〕44号                　　签发人：</w:t>
      </w:r>
      <w:r>
        <w:rPr>
          <w:rFonts w:hint="eastAsia" w:ascii="楷体" w:hAnsi="楷体" w:eastAsia="楷体"/>
          <w:szCs w:val="32"/>
        </w:rPr>
        <w:t>丁立平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          办理结果：A</w:t>
      </w:r>
    </w:p>
    <w:p>
      <w:pPr>
        <w:spacing w:line="600" w:lineRule="exact"/>
        <w:ind w:left="-316" w:leftChars="-1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信阳市农业农村局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关于对市五届政协四次会议第54305号提案的答  复</w:t>
      </w:r>
    </w:p>
    <w:p>
      <w:pPr>
        <w:spacing w:line="600" w:lineRule="exact"/>
        <w:rPr>
          <w:rFonts w:ascii="仿宋_GB2312" w:hAnsi="仿宋_GB2312" w:cs="仿宋_GB2312"/>
          <w:szCs w:val="32"/>
        </w:rPr>
      </w:pPr>
    </w:p>
    <w:p>
      <w:pPr>
        <w:spacing w:line="64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蒋仁山委员:</w:t>
      </w:r>
    </w:p>
    <w:p>
      <w:pPr>
        <w:spacing w:line="640" w:lineRule="exact"/>
        <w:ind w:firstLine="632" w:firstLineChars="200"/>
        <w:rPr>
          <w:rFonts w:eastAsia="方正大标宋简体"/>
          <w:bCs/>
          <w:sz w:val="44"/>
          <w:szCs w:val="44"/>
        </w:rPr>
      </w:pPr>
      <w:r>
        <w:rPr>
          <w:rFonts w:hint="eastAsia" w:ascii="仿宋_GB2312" w:hAnsi="仿宋_GB2312" w:cs="仿宋_GB2312"/>
          <w:bCs/>
          <w:szCs w:val="32"/>
        </w:rPr>
        <w:t>您提出的关于“科学应对旱情”的提案收悉。市政府对您所提的意见高度重视，经市农业农村局、市水利局等部门认真办理和研究，现将有关情况答复如下：</w:t>
      </w:r>
    </w:p>
    <w:p>
      <w:pPr>
        <w:spacing w:line="640" w:lineRule="exact"/>
        <w:ind w:firstLine="632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/>
          <w:szCs w:val="32"/>
        </w:rPr>
        <w:t>今年</w:t>
      </w:r>
      <w:r>
        <w:rPr>
          <w:szCs w:val="32"/>
        </w:rPr>
        <w:t>4月以来，全市持续出现高温少雨天气，土壤墒情较差，农业旱情达到中度干旱等级，局部地区达到严重干旱等级。时值我市秋作物种植关键时期，因旱缺水给我市秋作物特别是秋粮生产带来</w:t>
      </w:r>
      <w:r>
        <w:rPr>
          <w:rFonts w:hint="eastAsia"/>
          <w:szCs w:val="32"/>
        </w:rPr>
        <w:t>一定</w:t>
      </w:r>
      <w:r>
        <w:rPr>
          <w:szCs w:val="32"/>
        </w:rPr>
        <w:t>影响。</w:t>
      </w:r>
      <w:r>
        <w:rPr>
          <w:rFonts w:hint="eastAsia"/>
          <w:szCs w:val="32"/>
        </w:rPr>
        <w:t>市政府采取积极措施，科学应对旱情，努力将旱情对农业生产造成的损失降到最低。</w:t>
      </w:r>
    </w:p>
    <w:p>
      <w:pPr>
        <w:spacing w:line="640" w:lineRule="exact"/>
        <w:ind w:firstLine="634" w:firstLineChars="200"/>
        <w:rPr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一是领导高度重视。</w:t>
      </w:r>
      <w:r>
        <w:rPr>
          <w:szCs w:val="32"/>
        </w:rPr>
        <w:t>针对我市发生的旱情，市委、市政府高度重视。5月28日，市政府专门召开了全市抗旱抢种工作电视电话会，市政府副市长胡亚才要求各级各有关部门要采取有效措施，确保秋粮多插一块是一块，多种一亩是一亩。6月2日，市政府副市长胡亚才带领相关部门负责同志到平桥、罗山和光山，深入受灾一线对当地抗旱抢种工作进行调研指导。市政府下发了《关于切实做好抗旱抢种工作的紧急通知》（信政办明电〔2020〕26号），要求各县区政府要切实担负抗旱抢种责任，从速研究应对措施，细化任务，压实责任，加大财政支持力度，确保抗旱抢种工作落到实处。各县区也高度重视，5月29日上午，商城县委常委、副县长王鹏程，县委常委、宣传部长花少锋带领县直相关职能部门深入田间地头，灌溉水源地，渠道、塘堰实地查看当前农业生产情况，现场召开协调会，会商解决办法。6月2日，潢川县县委书记赵亮到上油岗乡良种场村井灌抗旱现场，谈店乡尤店村抗旱打机井现场等地，调研抗旱工作。其他县区也采取召开动员会或实地调研方式安排部署抗旱抢种工作。</w:t>
      </w:r>
    </w:p>
    <w:p>
      <w:pPr>
        <w:spacing w:line="640" w:lineRule="exact"/>
        <w:ind w:firstLine="634" w:firstLineChars="200"/>
        <w:rPr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二是强化资金支持。</w:t>
      </w:r>
      <w:r>
        <w:rPr>
          <w:szCs w:val="32"/>
        </w:rPr>
        <w:t>各县区在财政紧张的情况下，仍拿出一定的资金，全力支持抗旱抢种工作。平桥区政府出台抗旱打井奖补政策，拿出奖补</w:t>
      </w:r>
      <w:r>
        <w:rPr>
          <w:rFonts w:hint="eastAsia"/>
          <w:szCs w:val="32"/>
        </w:rPr>
        <w:t>资金</w:t>
      </w:r>
      <w:r>
        <w:rPr>
          <w:szCs w:val="32"/>
        </w:rPr>
        <w:t>，支持全区共新建机井</w:t>
      </w:r>
      <w:r>
        <w:rPr>
          <w:rFonts w:hint="eastAsia"/>
          <w:szCs w:val="32"/>
        </w:rPr>
        <w:t>985</w:t>
      </w:r>
      <w:r>
        <w:rPr>
          <w:szCs w:val="32"/>
        </w:rPr>
        <w:t>口，有效解决水稻的移栽缺水问题。潢川县新打机井</w:t>
      </w:r>
      <w:r>
        <w:rPr>
          <w:rFonts w:hint="eastAsia"/>
          <w:szCs w:val="32"/>
        </w:rPr>
        <w:t>496</w:t>
      </w:r>
      <w:r>
        <w:rPr>
          <w:szCs w:val="32"/>
        </w:rPr>
        <w:t>口，按照井深，60米至80米奖补5000元；80米至100米奖补8000元；100米至120米以上奖补12000元；120米以上奖补15000元</w:t>
      </w:r>
      <w:r>
        <w:rPr>
          <w:rFonts w:hint="eastAsia"/>
          <w:szCs w:val="32"/>
        </w:rPr>
        <w:t>；</w:t>
      </w:r>
      <w:r>
        <w:rPr>
          <w:szCs w:val="32"/>
        </w:rPr>
        <w:t>其他县区也出台相应的奖补政策。</w:t>
      </w:r>
      <w:r>
        <w:rPr>
          <w:rFonts w:hint="eastAsia"/>
          <w:szCs w:val="32"/>
        </w:rPr>
        <w:t>据初步统计，2020年高标准农田项目区内计划打井数1769口，2020年以奖代补抗旱打井数2935口。</w:t>
      </w:r>
    </w:p>
    <w:p>
      <w:pPr>
        <w:spacing w:line="640" w:lineRule="exact"/>
        <w:ind w:firstLine="634" w:firstLineChars="200"/>
        <w:rPr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三是相关部门迅速行动。</w:t>
      </w:r>
      <w:r>
        <w:rPr>
          <w:szCs w:val="32"/>
        </w:rPr>
        <w:t>按照市政府安排部署，各相关部门积极履职尽责，为各地开展抗旱抢种工作提供指导服务。市水利局加强对现有水源的管理，结合城乡供水任务和农业生产用水需要，制定切实可行的用水方案，在优先保障城乡居民生活用水的前提下，最大限度安排好农业生产用水，做到计划用水、合理配水、节约用水。市农业农村局派出专业技术人员深入田间地头，指导农民在开展抗旱的同时，动员群众因地制宜改变种植模式，适时发展玉米、红薯等旱作物。市农机中心组织技术骨干，深入抗旱第一线，帮助农户搞好抗旱抢种机具的使用、调试、维修。市气象部门及时提供气象信息，做好天气预测、预警、人工降雨准备等工作。其他部门也结合自身工作职责，积极开展工作。</w:t>
      </w:r>
    </w:p>
    <w:p>
      <w:pPr>
        <w:spacing w:line="640" w:lineRule="exact"/>
        <w:ind w:firstLine="634" w:firstLineChars="200"/>
        <w:rPr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四是组织群众积极开展生产自救。</w:t>
      </w:r>
      <w:r>
        <w:rPr>
          <w:szCs w:val="32"/>
        </w:rPr>
        <w:t>帮助群众克服靠天等雨的思想，充分利用流动泵抽河流及沟渠现存的水，发挥新打和现有机井、提灌站的作用，积极开展生产自救工作。</w:t>
      </w:r>
    </w:p>
    <w:p>
      <w:pPr>
        <w:spacing w:line="64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为进一步提升我市科学应对旱情的能力，一是结合高标准农田建设项目，在灌区无法覆盖的地区增加机井数量，提升抵御自然灾害的能力；二是对现有小型固定提灌站进行更新改造，尽快恢复提水能力，确保各类提排站正常运行，提高过境水利用率；三是加强灌溉工程设施管理维护，做好灌溉渠系的清淤整修，提高灌溉渠系的通水能力。</w:t>
      </w:r>
    </w:p>
    <w:p>
      <w:pPr>
        <w:spacing w:line="64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衷心感谢您对农业农村事业的关心支持，欢迎您继续对我们的工作给予监督和指导。</w:t>
      </w:r>
    </w:p>
    <w:p>
      <w:pPr>
        <w:spacing w:line="640" w:lineRule="exact"/>
        <w:ind w:firstLine="632" w:firstLineChars="200"/>
        <w:rPr>
          <w:szCs w:val="32"/>
        </w:rPr>
      </w:pPr>
    </w:p>
    <w:p>
      <w:pPr>
        <w:spacing w:line="64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主办单位：信阳市农业农村局</w:t>
      </w:r>
    </w:p>
    <w:p>
      <w:pPr>
        <w:spacing w:line="64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联 系 人：胡克光</w:t>
      </w:r>
    </w:p>
    <w:p>
      <w:pPr>
        <w:spacing w:line="64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电    话：6693811</w:t>
      </w:r>
    </w:p>
    <w:p>
      <w:pPr>
        <w:spacing w:line="640" w:lineRule="exact"/>
        <w:ind w:firstLine="632" w:firstLineChars="200"/>
        <w:rPr>
          <w:szCs w:val="32"/>
        </w:rPr>
      </w:pPr>
    </w:p>
    <w:p>
      <w:pPr>
        <w:spacing w:line="640" w:lineRule="exact"/>
        <w:ind w:firstLine="632" w:firstLineChars="200"/>
        <w:rPr>
          <w:szCs w:val="32"/>
        </w:rPr>
      </w:pPr>
    </w:p>
    <w:p>
      <w:pPr>
        <w:spacing w:line="640" w:lineRule="exact"/>
        <w:ind w:firstLine="5054" w:firstLineChars="1600"/>
        <w:rPr>
          <w:szCs w:val="32"/>
        </w:rPr>
      </w:pPr>
      <w:r>
        <w:rPr>
          <w:rFonts w:hint="eastAsia"/>
          <w:szCs w:val="32"/>
        </w:rPr>
        <w:t>信阳市农业农村局</w:t>
      </w:r>
    </w:p>
    <w:p>
      <w:pPr>
        <w:spacing w:line="640" w:lineRule="exact"/>
        <w:ind w:firstLine="5054" w:firstLineChars="1600"/>
        <w:rPr>
          <w:szCs w:val="32"/>
        </w:rPr>
      </w:pPr>
      <w:r>
        <w:rPr>
          <w:rFonts w:hint="eastAsia"/>
          <w:szCs w:val="32"/>
        </w:rPr>
        <w:t>2020年9月</w:t>
      </w:r>
      <w:r>
        <w:rPr>
          <w:rFonts w:hint="eastAsia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/>
          <w:szCs w:val="32"/>
        </w:rPr>
        <w:t>日</w:t>
      </w:r>
    </w:p>
    <w:p>
      <w:pPr>
        <w:spacing w:line="640" w:lineRule="exact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632" w:firstLineChars="200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tbl>
      <w:tblPr>
        <w:tblpPr w:leftFromText="180" w:rightFromText="180" w:vertAnchor="text" w:horzAnchor="margin" w:tblpXSpec="left" w:tblpY="5404"/>
        <w:tblW w:w="900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000"/>
      </w:tblGrid>
      <w:tr>
        <w:trPr>
          <w:trHeight w:val="699" w:hRule="atLeast"/>
        </w:trPr>
        <w:tc>
          <w:tcPr>
            <w:tcW w:w="90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信阳市农业农村局办公室        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2020年9月18日印发</w:t>
            </w:r>
          </w:p>
        </w:tc>
      </w:tr>
    </w:tbl>
    <w:p>
      <w:pPr>
        <w:spacing w:line="600" w:lineRule="exact"/>
        <w:ind w:firstLine="4264" w:firstLineChars="1350"/>
        <w:rPr>
          <w:rFonts w:ascii="仿宋_GB231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rPr>
        <w:rFonts w:hint="eastAsia" w:ascii="仿宋_GB2312"/>
        <w:sz w:val="28"/>
        <w:szCs w:val="28"/>
      </w:rPr>
      <w:t>—</w:t>
    </w:r>
    <w:r>
      <w:rPr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pPr>
      <w:ind w:left="1017"/>
    </w:pPr>
    <w:rPr>
      <w:rFonts w:ascii="仿宋" w:hAnsi="仿宋" w:eastAsia="仿宋" w:cs="仿宋"/>
      <w:sz w:val="28"/>
      <w:szCs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0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  <w:rPr/>
  </w:style>
  <w:style w:type="character" w:customStyle="1" w:styleId="9">
    <w:name w:val="页眉 Char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 Char"/>
    <w:basedOn w:val="6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255</Words>
  <Characters>1456</Characters>
  <Lines>12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2020-09-21T02:33:00Z</dcterms:created>
  <dc:creator>老家</dc:creator>
  <cp:lastModifiedBy>Administrator</cp:lastModifiedBy>
  <dcterms:modified xsi:type="dcterms:W3CDTF">2021-03-30T07:54:29Z</dcterms:modified>
  <dc:title>信农字〔2020〕44号                　　签发人：丁立平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