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textAlignment w:val="auto"/>
        <w:rPr>
          <w:rFonts w:eastAsia="黑体"/>
          <w:kern w:val="2"/>
          <w:sz w:val="32"/>
          <w:szCs w:val="32"/>
        </w:rPr>
      </w:pPr>
      <w:bookmarkStart w:id="0" w:name="_GoBack"/>
      <w:bookmarkEnd w:id="0"/>
      <w:r>
        <w:rPr>
          <w:rFonts w:eastAsia="黑体"/>
          <w:kern w:val="2"/>
          <w:sz w:val="32"/>
          <w:szCs w:val="32"/>
        </w:rPr>
        <w:t>附件2</w:t>
      </w:r>
    </w:p>
    <w:p>
      <w:pPr>
        <w:adjustRightInd/>
        <w:spacing w:line="240" w:lineRule="auto"/>
        <w:textAlignment w:val="auto"/>
        <w:rPr>
          <w:rFonts w:eastAsia="宋体"/>
          <w:kern w:val="2"/>
          <w:sz w:val="21"/>
          <w:szCs w:val="24"/>
        </w:rPr>
      </w:pPr>
    </w:p>
    <w:p>
      <w:pPr>
        <w:snapToGrid w:val="0"/>
        <w:spacing w:line="64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企业经济运行情况表填表说明</w:t>
      </w:r>
    </w:p>
    <w:p>
      <w:pPr>
        <w:adjustRightInd/>
        <w:spacing w:line="640" w:lineRule="exact"/>
        <w:textAlignment w:val="auto"/>
        <w:rPr>
          <w:kern w:val="2"/>
          <w:sz w:val="32"/>
          <w:szCs w:val="32"/>
        </w:rPr>
      </w:pPr>
    </w:p>
    <w:p>
      <w:pPr>
        <w:adjustRightInd/>
        <w:spacing w:line="640" w:lineRule="exact"/>
        <w:ind w:firstLine="620"/>
        <w:textAlignment w:val="auto"/>
        <w:rPr>
          <w:kern w:val="2"/>
          <w:sz w:val="32"/>
          <w:szCs w:val="32"/>
        </w:rPr>
      </w:pPr>
      <w:r>
        <w:rPr>
          <w:kern w:val="2"/>
          <w:sz w:val="32"/>
          <w:szCs w:val="32"/>
        </w:rPr>
        <w:t>企业应根据财务会计报表填写本表中涉及的资产、收入、利润等数据，所有数据应为统计当期的数据，保留小数点后二位。</w:t>
      </w:r>
    </w:p>
    <w:p>
      <w:pPr>
        <w:adjustRightInd/>
        <w:spacing w:line="640" w:lineRule="exact"/>
        <w:ind w:firstLine="620"/>
        <w:textAlignment w:val="auto"/>
        <w:rPr>
          <w:kern w:val="2"/>
          <w:sz w:val="32"/>
          <w:szCs w:val="32"/>
        </w:rPr>
      </w:pPr>
      <w:r>
        <w:rPr>
          <w:kern w:val="2"/>
          <w:sz w:val="32"/>
          <w:szCs w:val="32"/>
        </w:rPr>
        <w:t>1.企业名称（代号1）。应与企业营业执照及企业公章一致。申请更名的企业，填写更名后的企业名称。</w:t>
      </w:r>
    </w:p>
    <w:p>
      <w:pPr>
        <w:adjustRightInd/>
        <w:spacing w:line="640" w:lineRule="exact"/>
        <w:ind w:firstLine="620"/>
        <w:textAlignment w:val="auto"/>
        <w:rPr>
          <w:kern w:val="2"/>
          <w:sz w:val="32"/>
          <w:szCs w:val="32"/>
        </w:rPr>
      </w:pPr>
      <w:r>
        <w:rPr>
          <w:kern w:val="2"/>
          <w:sz w:val="32"/>
          <w:szCs w:val="32"/>
        </w:rPr>
        <w:t>2.所有权性质（代号3）。根据企业最大股东性质，填写民营、国有、集体、港澳台资、外资中的一个。</w:t>
      </w:r>
    </w:p>
    <w:p>
      <w:pPr>
        <w:adjustRightInd/>
        <w:spacing w:line="640" w:lineRule="exact"/>
        <w:ind w:firstLine="620"/>
        <w:textAlignment w:val="auto"/>
        <w:rPr>
          <w:kern w:val="2"/>
          <w:sz w:val="32"/>
          <w:szCs w:val="32"/>
        </w:rPr>
      </w:pPr>
      <w:r>
        <w:rPr>
          <w:kern w:val="2"/>
          <w:sz w:val="32"/>
          <w:szCs w:val="32"/>
        </w:rPr>
        <w:t>3.混合所有制企业（代号4）。混合所有制企业指公有制（国有企业、农村集体经济组织等）和非公有制（民营企业、外资企业等）不同所有制性质的投资主体共同出资、相互参股的企业。</w:t>
      </w:r>
    </w:p>
    <w:p>
      <w:pPr>
        <w:adjustRightInd/>
        <w:spacing w:line="640" w:lineRule="exact"/>
        <w:ind w:firstLine="620"/>
        <w:textAlignment w:val="auto"/>
        <w:rPr>
          <w:kern w:val="2"/>
          <w:sz w:val="32"/>
          <w:szCs w:val="32"/>
        </w:rPr>
      </w:pPr>
      <w:r>
        <w:rPr>
          <w:kern w:val="2"/>
          <w:sz w:val="32"/>
          <w:szCs w:val="32"/>
        </w:rPr>
        <w:t>4.企业类型（代号12）。根据企业主营业务情况，选择生产加工型、市场流通型、农产品批发市场、农产品电商企业中的一个。</w:t>
      </w:r>
    </w:p>
    <w:p>
      <w:pPr>
        <w:adjustRightInd/>
        <w:spacing w:line="640" w:lineRule="exact"/>
        <w:ind w:firstLine="620"/>
        <w:textAlignment w:val="auto"/>
        <w:rPr>
          <w:kern w:val="2"/>
          <w:sz w:val="32"/>
          <w:szCs w:val="32"/>
        </w:rPr>
      </w:pPr>
      <w:r>
        <w:rPr>
          <w:kern w:val="2"/>
          <w:sz w:val="32"/>
          <w:szCs w:val="32"/>
        </w:rPr>
        <w:t>5.农产品加工类别（代号13）。从粮食加工与制造业、饲料加工、粮食原料酒制造业、植物油加工、果蔬茶加工、精制茶加工业、肉类加工业、蛋品加工业、乳品加工业、水产品加工业、制糖业、烟草制造业、中药制造业、其他食用类农产品加工业、棉麻加工业、皮毛羽丝加工业、木竹藤棕草加工业、橡胶制品制造业选填。</w:t>
      </w:r>
    </w:p>
    <w:p>
      <w:pPr>
        <w:adjustRightInd/>
        <w:spacing w:line="640" w:lineRule="exact"/>
        <w:ind w:firstLine="620"/>
        <w:textAlignment w:val="auto"/>
        <w:rPr>
          <w:kern w:val="2"/>
          <w:sz w:val="32"/>
          <w:szCs w:val="32"/>
        </w:rPr>
      </w:pPr>
      <w:r>
        <w:rPr>
          <w:kern w:val="2"/>
          <w:sz w:val="32"/>
          <w:szCs w:val="32"/>
        </w:rPr>
        <w:t>6.企业成立时间（代号14）。应与企业营业执照上的成立日期一致。</w:t>
      </w:r>
    </w:p>
    <w:p>
      <w:pPr>
        <w:adjustRightInd/>
        <w:spacing w:line="640" w:lineRule="exact"/>
        <w:ind w:firstLine="620"/>
        <w:textAlignment w:val="auto"/>
        <w:rPr>
          <w:kern w:val="2"/>
          <w:sz w:val="32"/>
          <w:szCs w:val="32"/>
        </w:rPr>
      </w:pPr>
      <w:r>
        <w:rPr>
          <w:kern w:val="2"/>
          <w:sz w:val="32"/>
          <w:szCs w:val="32"/>
        </w:rPr>
        <w:t>7.信用等级（代号16）。指银行或有关机构为企业评定的信用等级，没有评定的不填写。</w:t>
      </w:r>
    </w:p>
    <w:p>
      <w:pPr>
        <w:adjustRightInd/>
        <w:spacing w:line="640" w:lineRule="exact"/>
        <w:ind w:firstLine="620"/>
        <w:textAlignment w:val="auto"/>
        <w:rPr>
          <w:kern w:val="2"/>
          <w:sz w:val="32"/>
          <w:szCs w:val="32"/>
        </w:rPr>
      </w:pPr>
      <w:r>
        <w:rPr>
          <w:kern w:val="2"/>
          <w:sz w:val="32"/>
          <w:szCs w:val="32"/>
        </w:rPr>
        <w:t>8.销售收入或交易额(代号27)。指企业总销售收入，是企业从事农产品生产、加工、流通的收入与其他业务收入之和。农产品专业批发市场填写交易额，是农产品交易额与其他产品交易额之和。</w:t>
      </w:r>
    </w:p>
    <w:p>
      <w:pPr>
        <w:adjustRightInd/>
        <w:spacing w:line="640" w:lineRule="exact"/>
        <w:ind w:firstLine="620"/>
        <w:textAlignment w:val="auto"/>
        <w:rPr>
          <w:kern w:val="2"/>
          <w:sz w:val="32"/>
          <w:szCs w:val="32"/>
        </w:rPr>
      </w:pPr>
      <w:r>
        <w:rPr>
          <w:kern w:val="2"/>
          <w:sz w:val="32"/>
          <w:szCs w:val="32"/>
        </w:rPr>
        <w:t>9.获得财政扶持资金总额（代号39）。指企业获得政府补助、奖励、贷款贴息等各类扶持资金的总额。</w:t>
      </w:r>
    </w:p>
    <w:p>
      <w:pPr>
        <w:adjustRightInd/>
        <w:spacing w:line="640" w:lineRule="exact"/>
        <w:ind w:firstLine="620"/>
        <w:textAlignment w:val="auto"/>
        <w:rPr>
          <w:kern w:val="2"/>
          <w:sz w:val="32"/>
          <w:szCs w:val="32"/>
        </w:rPr>
      </w:pPr>
      <w:r>
        <w:rPr>
          <w:kern w:val="2"/>
          <w:sz w:val="32"/>
          <w:szCs w:val="32"/>
        </w:rPr>
        <w:t>10.企业职工人数（代号40）。指企业正式职工、长期聘用的临时工、季节性用工的人数之和。采取从业人员平均人数计算法，即“从业人员数=（1月平均人数+2月平均人数+……+12月平均人数）/12”。例如，1名员工工作半年，实际相当于0.5名员工。</w:t>
      </w:r>
    </w:p>
    <w:p>
      <w:pPr>
        <w:adjustRightInd/>
        <w:spacing w:line="640" w:lineRule="exact"/>
        <w:ind w:firstLine="620"/>
        <w:textAlignment w:val="auto"/>
        <w:rPr>
          <w:kern w:val="2"/>
          <w:sz w:val="32"/>
          <w:szCs w:val="32"/>
        </w:rPr>
      </w:pPr>
      <w:r>
        <w:rPr>
          <w:kern w:val="2"/>
          <w:sz w:val="32"/>
          <w:szCs w:val="32"/>
        </w:rPr>
        <w:t>11.农民的工资福利总额（代号44）。指在报告期内企业支付给户籍在乡村的就业人员的劳动报酬和福利总额，包括货币、实物等。</w:t>
      </w:r>
    </w:p>
    <w:p>
      <w:pPr>
        <w:adjustRightInd/>
        <w:spacing w:line="640" w:lineRule="exact"/>
        <w:ind w:firstLine="620"/>
        <w:textAlignment w:val="auto"/>
        <w:rPr>
          <w:sz w:val="32"/>
          <w:szCs w:val="32"/>
        </w:rPr>
      </w:pPr>
      <w:r>
        <w:rPr>
          <w:sz w:val="32"/>
          <w:szCs w:val="32"/>
        </w:rPr>
        <w:t>12.主营产品名称（代号46）。指企业</w:t>
      </w:r>
      <w:r>
        <w:rPr>
          <w:kern w:val="2"/>
          <w:sz w:val="32"/>
          <w:szCs w:val="32"/>
        </w:rPr>
        <w:t>生产、加工、流通农产品的具体</w:t>
      </w:r>
      <w:r>
        <w:rPr>
          <w:sz w:val="32"/>
          <w:szCs w:val="32"/>
        </w:rPr>
        <w:t>名称，如生猪、鸡蛋、蔬菜、冷鲜肉、果汁、酒精、中成药、方便面、饲料、液态奶、奶粉、种子、对虾、鳗鱼等。</w:t>
      </w:r>
    </w:p>
    <w:p>
      <w:pPr>
        <w:adjustRightInd/>
        <w:spacing w:line="640" w:lineRule="exact"/>
        <w:ind w:firstLine="620"/>
        <w:textAlignment w:val="auto"/>
        <w:rPr>
          <w:kern w:val="2"/>
          <w:sz w:val="32"/>
          <w:szCs w:val="32"/>
        </w:rPr>
      </w:pPr>
      <w:r>
        <w:rPr>
          <w:sz w:val="32"/>
          <w:szCs w:val="32"/>
        </w:rPr>
        <w:t>13.</w:t>
      </w:r>
      <w:r>
        <w:rPr>
          <w:kern w:val="2"/>
          <w:sz w:val="32"/>
          <w:szCs w:val="32"/>
        </w:rPr>
        <w:t>主营产品销售收入或交易额</w:t>
      </w:r>
      <w:r>
        <w:rPr>
          <w:sz w:val="32"/>
          <w:szCs w:val="32"/>
        </w:rPr>
        <w:t>（代号47）</w:t>
      </w:r>
      <w:r>
        <w:rPr>
          <w:kern w:val="2"/>
          <w:sz w:val="32"/>
          <w:szCs w:val="32"/>
        </w:rPr>
        <w:t>。指企业生产、加工、流通农产品的收入，不含农业服务业、非农业务等其他业务收入。农产品专业批发市场填写农产品交易额，不含其他产品交易额。</w:t>
      </w:r>
    </w:p>
    <w:p>
      <w:pPr>
        <w:adjustRightInd/>
        <w:spacing w:line="640" w:lineRule="exact"/>
        <w:ind w:firstLine="620"/>
        <w:textAlignment w:val="auto"/>
        <w:rPr>
          <w:kern w:val="2"/>
          <w:sz w:val="32"/>
          <w:szCs w:val="32"/>
        </w:rPr>
      </w:pPr>
      <w:r>
        <w:rPr>
          <w:kern w:val="2"/>
          <w:sz w:val="32"/>
          <w:szCs w:val="32"/>
        </w:rPr>
        <w:t>14.主营产品产销率（代号48）。</w:t>
      </w:r>
      <w:r>
        <w:rPr>
          <w:color w:val="000000"/>
          <w:sz w:val="32"/>
          <w:szCs w:val="32"/>
        </w:rPr>
        <w:t>填写当年主营产品销售量与生产加工量（或购进量）之比</w:t>
      </w:r>
      <w:r>
        <w:rPr>
          <w:kern w:val="2"/>
          <w:sz w:val="32"/>
          <w:szCs w:val="32"/>
        </w:rPr>
        <w:t>。</w:t>
      </w:r>
    </w:p>
    <w:p>
      <w:pPr>
        <w:adjustRightInd/>
        <w:spacing w:line="640" w:lineRule="exact"/>
        <w:ind w:firstLine="620"/>
        <w:textAlignment w:val="auto"/>
        <w:rPr>
          <w:kern w:val="2"/>
          <w:sz w:val="32"/>
          <w:szCs w:val="32"/>
        </w:rPr>
      </w:pPr>
      <w:r>
        <w:rPr>
          <w:kern w:val="2"/>
          <w:sz w:val="32"/>
          <w:szCs w:val="32"/>
        </w:rPr>
        <w:t>15.主营产品类别（代号51-56）。填写以下类别：（1）粮食类（含饲料）；（2）油料类；（3）糖料类；（4）水果类；（5）蔬菜类；（6）棉麻丝类；（7）中药材类；（8）茶叶类；（9）花卉类；（10）肉类；（11）蛋类；（12）奶类；（13）皮毛类；（14）水产类；（15）林业；（16）其他。企业根据主营产品的销售额，对应以上类别，填写销售额排名前三位的主营产品类别和有关数据。属于其他类的产品，应写明具体名称。</w:t>
      </w:r>
    </w:p>
    <w:p>
      <w:pPr>
        <w:adjustRightInd/>
        <w:spacing w:line="640" w:lineRule="exact"/>
        <w:ind w:firstLine="620"/>
        <w:textAlignment w:val="auto"/>
        <w:rPr>
          <w:kern w:val="2"/>
          <w:sz w:val="32"/>
          <w:szCs w:val="32"/>
        </w:rPr>
      </w:pPr>
      <w:r>
        <w:rPr>
          <w:kern w:val="2"/>
          <w:sz w:val="32"/>
          <w:szCs w:val="32"/>
        </w:rPr>
        <w:t>16.自建基地（代号57-60）。指企业直接投资建设和管理的农产品原料生产基地。</w:t>
      </w:r>
    </w:p>
    <w:p>
      <w:pPr>
        <w:adjustRightInd/>
        <w:spacing w:line="640" w:lineRule="exact"/>
        <w:ind w:firstLine="620"/>
        <w:textAlignment w:val="auto"/>
        <w:rPr>
          <w:kern w:val="2"/>
          <w:sz w:val="32"/>
          <w:szCs w:val="32"/>
        </w:rPr>
      </w:pPr>
      <w:r>
        <w:rPr>
          <w:kern w:val="2"/>
          <w:sz w:val="32"/>
          <w:szCs w:val="32"/>
        </w:rPr>
        <w:t>17.订单基地（代号61-64）。指企业通过与农户、中介服务组织、乡村组织、经纪人等签订订单合同的方式，建立的农产品原料生产基地。</w:t>
      </w:r>
    </w:p>
    <w:p>
      <w:pPr>
        <w:adjustRightInd/>
        <w:spacing w:line="640" w:lineRule="exact"/>
        <w:ind w:firstLine="620"/>
        <w:textAlignment w:val="auto"/>
        <w:rPr>
          <w:kern w:val="2"/>
          <w:sz w:val="32"/>
          <w:szCs w:val="32"/>
        </w:rPr>
      </w:pPr>
      <w:r>
        <w:rPr>
          <w:kern w:val="2"/>
          <w:sz w:val="32"/>
          <w:szCs w:val="32"/>
        </w:rPr>
        <w:t>18.其他方式（代号65-68）。指企业通过自建基地、订单基地以外的方式，采购农产品原料。请在备注中注明具体带动方式及不同方式下的带动面积或数量。</w:t>
      </w:r>
    </w:p>
    <w:p>
      <w:pPr>
        <w:adjustRightInd/>
        <w:spacing w:line="640" w:lineRule="exact"/>
        <w:ind w:firstLine="620"/>
        <w:textAlignment w:val="auto"/>
        <w:rPr>
          <w:kern w:val="2"/>
          <w:sz w:val="32"/>
          <w:szCs w:val="32"/>
        </w:rPr>
      </w:pPr>
      <w:r>
        <w:rPr>
          <w:kern w:val="2"/>
          <w:sz w:val="32"/>
          <w:szCs w:val="32"/>
        </w:rPr>
        <w:t>19.主要原料（代号77）。如果最终产品是经过加工的农产品（如酸奶、果汁、虾酱等），应填写加工量在前三位的原料产品名称（如牛乳、苹果、虾等）。如果最终产品是不经过加工的农产品（如活鸡、生猪、鱼等），直接填写生产量在前三位的农产品名称（如鸡、猪、鱼等）。</w:t>
      </w:r>
    </w:p>
    <w:p>
      <w:pPr>
        <w:adjustRightInd/>
        <w:spacing w:line="640" w:lineRule="exact"/>
        <w:ind w:firstLine="620"/>
        <w:textAlignment w:val="auto"/>
        <w:rPr>
          <w:kern w:val="2"/>
          <w:sz w:val="32"/>
          <w:szCs w:val="32"/>
        </w:rPr>
      </w:pPr>
      <w:r>
        <w:rPr>
          <w:kern w:val="2"/>
          <w:sz w:val="32"/>
          <w:szCs w:val="32"/>
        </w:rPr>
        <w:t>20.自建基地和订单基地所在省、市、县（代号78）。填写到县一级，并提供当地县级以上农业农村部门出具的企业带动农户情况说明。</w:t>
      </w:r>
    </w:p>
    <w:p>
      <w:pPr>
        <w:adjustRightInd/>
        <w:spacing w:line="640" w:lineRule="exact"/>
        <w:ind w:firstLine="620"/>
        <w:textAlignment w:val="auto"/>
        <w:rPr>
          <w:kern w:val="2"/>
          <w:sz w:val="32"/>
          <w:szCs w:val="32"/>
        </w:rPr>
      </w:pPr>
      <w:r>
        <w:rPr>
          <w:kern w:val="2"/>
          <w:sz w:val="32"/>
          <w:szCs w:val="32"/>
        </w:rPr>
        <w:t>21.合同、合作、股份合作联结带动农户数（代号82-90）。合同联结方式指企业直接与农户签订合同，直接向农户收购农产品。合作联结方式指企业通过农民合作社向农户收购农产品，由合作社根据社员贡献大小进行二次返利。股份合作联结方式指农民合作社、农户直接参股龙头企业，由企业按股份比例给予分红。</w:t>
      </w:r>
    </w:p>
    <w:p>
      <w:pPr>
        <w:adjustRightInd/>
        <w:spacing w:line="640" w:lineRule="exact"/>
        <w:ind w:firstLine="620"/>
        <w:textAlignment w:val="auto"/>
        <w:rPr>
          <w:kern w:val="2"/>
          <w:sz w:val="32"/>
          <w:szCs w:val="32"/>
        </w:rPr>
      </w:pPr>
      <w:r>
        <w:rPr>
          <w:kern w:val="2"/>
          <w:sz w:val="32"/>
          <w:szCs w:val="32"/>
        </w:rPr>
        <w:t>22.农业产业化联合体（代号95）。农业产业化联合体是在纵向产业链上龙头企业、家庭农场和农民专业合作社以合理分工为前提、以规模经营为依托、以利益联结为纽带形成的一体化农业经营组织联盟。</w:t>
      </w:r>
    </w:p>
    <w:p>
      <w:pPr>
        <w:adjustRightInd/>
        <w:spacing w:line="640" w:lineRule="exact"/>
        <w:ind w:firstLine="620"/>
        <w:textAlignment w:val="auto"/>
        <w:rPr>
          <w:kern w:val="2"/>
          <w:sz w:val="32"/>
          <w:szCs w:val="32"/>
        </w:rPr>
      </w:pPr>
      <w:r>
        <w:rPr>
          <w:kern w:val="2"/>
          <w:sz w:val="32"/>
          <w:szCs w:val="32"/>
        </w:rPr>
        <w:t>23.联合体带动农户数（代号96）。包括受联合体合同章程约束的内部成员（含合作社）农户和辐射带动的外部农户。</w:t>
      </w:r>
    </w:p>
    <w:p>
      <w:pPr>
        <w:adjustRightInd/>
        <w:spacing w:line="640" w:lineRule="exact"/>
        <w:ind w:firstLine="620"/>
        <w:textAlignment w:val="auto"/>
        <w:rPr>
          <w:kern w:val="2"/>
          <w:sz w:val="32"/>
          <w:szCs w:val="32"/>
        </w:rPr>
      </w:pPr>
      <w:r>
        <w:rPr>
          <w:kern w:val="2"/>
          <w:sz w:val="32"/>
          <w:szCs w:val="32"/>
        </w:rPr>
        <w:t>24.明确负责的建档立卡贫困户数量（代号97）。按照国务院扶贫办《扶贫开发建档立卡工作方案》要求，建档立卡贫困户拥有《贫困手册》，并纳入全国扶贫信息网络系统。</w:t>
      </w:r>
    </w:p>
    <w:p>
      <w:pPr>
        <w:adjustRightInd/>
        <w:spacing w:line="640" w:lineRule="exact"/>
        <w:ind w:firstLine="620"/>
        <w:textAlignment w:val="auto"/>
        <w:rPr>
          <w:kern w:val="2"/>
          <w:sz w:val="32"/>
          <w:szCs w:val="32"/>
        </w:rPr>
      </w:pPr>
      <w:r>
        <w:rPr>
          <w:kern w:val="2"/>
          <w:sz w:val="32"/>
          <w:szCs w:val="32"/>
        </w:rPr>
        <w:t>25.建档立卡贫困户户均从企业获得的收入（代号98）。通过在企业务工及其他方式联结带动，平均每个建档立卡的贫困户获得的各种报酬和福利收入总额。</w:t>
      </w:r>
    </w:p>
    <w:p>
      <w:pPr>
        <w:adjustRightInd/>
        <w:spacing w:line="640" w:lineRule="exact"/>
        <w:ind w:firstLine="620"/>
        <w:textAlignment w:val="auto"/>
        <w:rPr>
          <w:kern w:val="2"/>
          <w:sz w:val="32"/>
          <w:szCs w:val="32"/>
        </w:rPr>
      </w:pPr>
      <w:r>
        <w:rPr>
          <w:kern w:val="2"/>
          <w:sz w:val="32"/>
          <w:szCs w:val="32"/>
        </w:rPr>
        <w:t>26.企业科技研发与推广（代号101-104）。科技研发指企业对农产品生产、加工等方面的品种、技术和工艺等进行研究和开发。科技推广指企业指导农户依据科学的方法、技术、模式等开展种养殖活动，包括为农户提供技术培训、疫病防治、农资供应等方面的服务。</w:t>
      </w:r>
    </w:p>
    <w:p>
      <w:pPr>
        <w:adjustRightInd/>
        <w:spacing w:line="640" w:lineRule="exact"/>
        <w:ind w:firstLine="620"/>
        <w:textAlignment w:val="auto"/>
        <w:rPr>
          <w:kern w:val="2"/>
          <w:sz w:val="32"/>
          <w:szCs w:val="32"/>
        </w:rPr>
      </w:pPr>
    </w:p>
    <w:p>
      <w:pPr>
        <w:adjustRightInd/>
        <w:spacing w:line="640" w:lineRule="exact"/>
        <w:ind w:firstLine="620"/>
        <w:textAlignment w:val="auto"/>
        <w:rPr>
          <w:kern w:val="2"/>
          <w:sz w:val="32"/>
          <w:szCs w:val="32"/>
        </w:rPr>
      </w:pPr>
    </w:p>
    <w:p>
      <w:pPr>
        <w:adjustRightInd/>
        <w:spacing w:line="640" w:lineRule="exact"/>
        <w:ind w:firstLine="620"/>
        <w:textAlignment w:val="auto"/>
        <w:rPr>
          <w:kern w:val="2"/>
          <w:sz w:val="32"/>
          <w:szCs w:val="32"/>
        </w:rPr>
      </w:pPr>
    </w:p>
    <w:p>
      <w:pPr>
        <w:adjustRightInd/>
        <w:spacing w:line="640" w:lineRule="exact"/>
        <w:ind w:firstLine="620"/>
        <w:textAlignment w:val="auto"/>
        <w:rPr>
          <w:kern w:val="2"/>
          <w:sz w:val="32"/>
          <w:szCs w:val="32"/>
        </w:rPr>
      </w:pPr>
    </w:p>
    <w:p>
      <w:pPr>
        <w:adjustRightInd/>
        <w:spacing w:line="640" w:lineRule="exact"/>
        <w:ind w:firstLine="620"/>
        <w:textAlignment w:val="auto"/>
        <w:rPr>
          <w:kern w:val="2"/>
          <w:sz w:val="32"/>
          <w:szCs w:val="32"/>
        </w:rPr>
      </w:pPr>
    </w:p>
    <w:tbl>
      <w:tblPr>
        <w:tblStyle w:val="8"/>
        <w:tblpPr w:leftFromText="180" w:rightFromText="180" w:vertAnchor="page" w:horzAnchor="page" w:tblpX="1490" w:tblpY="14398"/>
        <w:tblW w:w="833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333" w:type="dxa"/>
            <w:vAlign w:val="center"/>
          </w:tcPr>
          <w:p>
            <w:pPr>
              <w:spacing w:line="240" w:lineRule="atLeast"/>
              <w:ind w:firstLine="280"/>
              <w:rPr>
                <w:rFonts w:ascii="仿宋_GB2312" w:hAnsi="宋体"/>
                <w:sz w:val="28"/>
                <w:szCs w:val="28"/>
              </w:rPr>
            </w:pPr>
            <w:r>
              <w:rPr>
                <w:rFonts w:hint="eastAsia" w:ascii="仿宋_GB2312" w:hAnsi="宋体"/>
                <w:sz w:val="28"/>
                <w:szCs w:val="28"/>
              </w:rPr>
              <w:t>信阳市农业农村局办公室                   20</w:t>
            </w:r>
            <w:r>
              <w:rPr>
                <w:rFonts w:hint="eastAsia" w:ascii="仿宋_GB2312" w:hAnsi="宋体"/>
                <w:sz w:val="28"/>
                <w:szCs w:val="28"/>
                <w:lang w:val="en-US" w:eastAsia="zh-CN"/>
              </w:rPr>
              <w:t>23</w:t>
            </w:r>
            <w:r>
              <w:rPr>
                <w:rFonts w:hint="eastAsia" w:ascii="仿宋_GB2312" w:hAnsi="宋体"/>
                <w:sz w:val="28"/>
                <w:szCs w:val="28"/>
              </w:rPr>
              <w:t>年</w:t>
            </w:r>
            <w:r>
              <w:rPr>
                <w:rFonts w:hint="eastAsia" w:ascii="仿宋_GB2312" w:hAnsi="宋体"/>
                <w:sz w:val="28"/>
                <w:szCs w:val="28"/>
                <w:lang w:val="en-US" w:eastAsia="zh-CN"/>
              </w:rPr>
              <w:t>8</w:t>
            </w:r>
            <w:r>
              <w:rPr>
                <w:rFonts w:hint="eastAsia" w:ascii="仿宋_GB2312" w:hAnsi="宋体"/>
                <w:sz w:val="28"/>
                <w:szCs w:val="28"/>
              </w:rPr>
              <w:t>月</w:t>
            </w:r>
            <w:r>
              <w:rPr>
                <w:rFonts w:hint="eastAsia" w:ascii="仿宋_GB2312" w:hAnsi="宋体"/>
                <w:sz w:val="28"/>
                <w:szCs w:val="28"/>
                <w:lang w:val="en-US" w:eastAsia="zh-CN"/>
              </w:rPr>
              <w:t>17</w:t>
            </w:r>
            <w:r>
              <w:rPr>
                <w:rFonts w:hint="eastAsia" w:ascii="仿宋_GB2312" w:hAnsi="宋体"/>
                <w:sz w:val="28"/>
                <w:szCs w:val="28"/>
              </w:rPr>
              <w:t>日印发</w:t>
            </w:r>
          </w:p>
        </w:tc>
      </w:tr>
    </w:tbl>
    <w:p>
      <w:pPr>
        <w:adjustRightInd/>
        <w:spacing w:line="640" w:lineRule="exact"/>
        <w:textAlignment w:val="auto"/>
        <w:rPr>
          <w:kern w:val="2"/>
          <w:sz w:val="32"/>
          <w:szCs w:val="32"/>
        </w:rPr>
      </w:pPr>
    </w:p>
    <w:sectPr>
      <w:footerReference r:id="rId5" w:type="default"/>
      <w:pgSz w:w="11906" w:h="16838"/>
      <w:pgMar w:top="1701" w:right="1247" w:bottom="1701" w:left="1701"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00TSfswEAAFIDAAAOAAAAAAAAAAEAIAAAADQBAABkcnMvZTJvRG9j&#10;LnhtbFBLBQYAAAAABgAGAFkBAABZ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cumentProtection w:enforcement="0"/>
  <w:defaultTabStop w:val="420"/>
  <w:drawingGridHorizontalSpacing w:val="9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CD"/>
    <w:rsid w:val="00030B92"/>
    <w:rsid w:val="00035F9A"/>
    <w:rsid w:val="00036D88"/>
    <w:rsid w:val="000506A2"/>
    <w:rsid w:val="00072C07"/>
    <w:rsid w:val="00074141"/>
    <w:rsid w:val="00076112"/>
    <w:rsid w:val="0008231A"/>
    <w:rsid w:val="00090094"/>
    <w:rsid w:val="00091E48"/>
    <w:rsid w:val="000A454F"/>
    <w:rsid w:val="000B7135"/>
    <w:rsid w:val="000C7CCB"/>
    <w:rsid w:val="000D16A5"/>
    <w:rsid w:val="000D20A0"/>
    <w:rsid w:val="000D6D3E"/>
    <w:rsid w:val="00110BBB"/>
    <w:rsid w:val="00113BD7"/>
    <w:rsid w:val="00125D8A"/>
    <w:rsid w:val="00132B59"/>
    <w:rsid w:val="00135520"/>
    <w:rsid w:val="00140439"/>
    <w:rsid w:val="001417E3"/>
    <w:rsid w:val="001423ED"/>
    <w:rsid w:val="00150344"/>
    <w:rsid w:val="001669E6"/>
    <w:rsid w:val="00166EF8"/>
    <w:rsid w:val="001B370F"/>
    <w:rsid w:val="001C4493"/>
    <w:rsid w:val="001C5EAD"/>
    <w:rsid w:val="001D5F8A"/>
    <w:rsid w:val="001F4E14"/>
    <w:rsid w:val="00200B65"/>
    <w:rsid w:val="00204037"/>
    <w:rsid w:val="00206363"/>
    <w:rsid w:val="002118F1"/>
    <w:rsid w:val="00217199"/>
    <w:rsid w:val="00217666"/>
    <w:rsid w:val="00221B10"/>
    <w:rsid w:val="002252F0"/>
    <w:rsid w:val="00232195"/>
    <w:rsid w:val="002340FF"/>
    <w:rsid w:val="00242676"/>
    <w:rsid w:val="002429B2"/>
    <w:rsid w:val="002518C6"/>
    <w:rsid w:val="002615C7"/>
    <w:rsid w:val="0026722B"/>
    <w:rsid w:val="00273538"/>
    <w:rsid w:val="002803C3"/>
    <w:rsid w:val="002904AC"/>
    <w:rsid w:val="0029496E"/>
    <w:rsid w:val="002B092C"/>
    <w:rsid w:val="002B0F02"/>
    <w:rsid w:val="002C2EAF"/>
    <w:rsid w:val="002C4D9A"/>
    <w:rsid w:val="002D4DB2"/>
    <w:rsid w:val="002D64C1"/>
    <w:rsid w:val="002E098C"/>
    <w:rsid w:val="002F1D25"/>
    <w:rsid w:val="002F2B24"/>
    <w:rsid w:val="00301B42"/>
    <w:rsid w:val="003041FF"/>
    <w:rsid w:val="00306A04"/>
    <w:rsid w:val="0032424B"/>
    <w:rsid w:val="00332527"/>
    <w:rsid w:val="00335CED"/>
    <w:rsid w:val="00355028"/>
    <w:rsid w:val="00374121"/>
    <w:rsid w:val="003B458F"/>
    <w:rsid w:val="003C3BD9"/>
    <w:rsid w:val="003E06BB"/>
    <w:rsid w:val="003E2DBA"/>
    <w:rsid w:val="003E5BA1"/>
    <w:rsid w:val="0040590A"/>
    <w:rsid w:val="00410141"/>
    <w:rsid w:val="00410501"/>
    <w:rsid w:val="00412BFE"/>
    <w:rsid w:val="00412F9A"/>
    <w:rsid w:val="00420A12"/>
    <w:rsid w:val="004312E3"/>
    <w:rsid w:val="0043552F"/>
    <w:rsid w:val="00437DFE"/>
    <w:rsid w:val="004423BA"/>
    <w:rsid w:val="004467AC"/>
    <w:rsid w:val="004475B6"/>
    <w:rsid w:val="00456E3C"/>
    <w:rsid w:val="004A62B3"/>
    <w:rsid w:val="004A7EFD"/>
    <w:rsid w:val="004C294D"/>
    <w:rsid w:val="004E34BA"/>
    <w:rsid w:val="004F3ED7"/>
    <w:rsid w:val="004F4037"/>
    <w:rsid w:val="004F5C50"/>
    <w:rsid w:val="00500DC4"/>
    <w:rsid w:val="0052233A"/>
    <w:rsid w:val="00547043"/>
    <w:rsid w:val="0057035F"/>
    <w:rsid w:val="0057484F"/>
    <w:rsid w:val="00585023"/>
    <w:rsid w:val="00591AC1"/>
    <w:rsid w:val="0059668C"/>
    <w:rsid w:val="00596D82"/>
    <w:rsid w:val="005A48F6"/>
    <w:rsid w:val="005B2817"/>
    <w:rsid w:val="005C13B5"/>
    <w:rsid w:val="005D1BB6"/>
    <w:rsid w:val="00603572"/>
    <w:rsid w:val="00605043"/>
    <w:rsid w:val="00617BC1"/>
    <w:rsid w:val="006272C6"/>
    <w:rsid w:val="00634B4E"/>
    <w:rsid w:val="006407DF"/>
    <w:rsid w:val="0064144D"/>
    <w:rsid w:val="00645AC3"/>
    <w:rsid w:val="0065289C"/>
    <w:rsid w:val="00657215"/>
    <w:rsid w:val="0066566C"/>
    <w:rsid w:val="006A7262"/>
    <w:rsid w:val="006B4416"/>
    <w:rsid w:val="006C0783"/>
    <w:rsid w:val="006C2B47"/>
    <w:rsid w:val="006C44EB"/>
    <w:rsid w:val="006C7E76"/>
    <w:rsid w:val="006D4E22"/>
    <w:rsid w:val="006D57D6"/>
    <w:rsid w:val="006E4278"/>
    <w:rsid w:val="0070035E"/>
    <w:rsid w:val="00704B9B"/>
    <w:rsid w:val="00707E9E"/>
    <w:rsid w:val="007458FA"/>
    <w:rsid w:val="0075231D"/>
    <w:rsid w:val="007816B3"/>
    <w:rsid w:val="00782861"/>
    <w:rsid w:val="00783B59"/>
    <w:rsid w:val="00786353"/>
    <w:rsid w:val="00796E42"/>
    <w:rsid w:val="007B570D"/>
    <w:rsid w:val="007D5280"/>
    <w:rsid w:val="007F0135"/>
    <w:rsid w:val="008058E9"/>
    <w:rsid w:val="00823907"/>
    <w:rsid w:val="0083381C"/>
    <w:rsid w:val="008366B0"/>
    <w:rsid w:val="00840C95"/>
    <w:rsid w:val="0085301D"/>
    <w:rsid w:val="008866D6"/>
    <w:rsid w:val="00890D5E"/>
    <w:rsid w:val="008A08B8"/>
    <w:rsid w:val="008A4E27"/>
    <w:rsid w:val="008B0408"/>
    <w:rsid w:val="008B4AA6"/>
    <w:rsid w:val="008C33D5"/>
    <w:rsid w:val="008D22E5"/>
    <w:rsid w:val="008F1C51"/>
    <w:rsid w:val="00904262"/>
    <w:rsid w:val="009122A0"/>
    <w:rsid w:val="0094263E"/>
    <w:rsid w:val="00950C99"/>
    <w:rsid w:val="00961622"/>
    <w:rsid w:val="0097321A"/>
    <w:rsid w:val="00974125"/>
    <w:rsid w:val="009D07EA"/>
    <w:rsid w:val="009D3789"/>
    <w:rsid w:val="009E6C98"/>
    <w:rsid w:val="009F0184"/>
    <w:rsid w:val="00A00E59"/>
    <w:rsid w:val="00A03F5E"/>
    <w:rsid w:val="00A051BF"/>
    <w:rsid w:val="00A07C0D"/>
    <w:rsid w:val="00A13384"/>
    <w:rsid w:val="00A14CAA"/>
    <w:rsid w:val="00A14D3F"/>
    <w:rsid w:val="00A24C87"/>
    <w:rsid w:val="00A3770E"/>
    <w:rsid w:val="00A37E76"/>
    <w:rsid w:val="00A41247"/>
    <w:rsid w:val="00A42843"/>
    <w:rsid w:val="00A459A6"/>
    <w:rsid w:val="00A52A8C"/>
    <w:rsid w:val="00A7107E"/>
    <w:rsid w:val="00A73974"/>
    <w:rsid w:val="00A915E1"/>
    <w:rsid w:val="00AA3FC3"/>
    <w:rsid w:val="00AA73A3"/>
    <w:rsid w:val="00AA7435"/>
    <w:rsid w:val="00AC0379"/>
    <w:rsid w:val="00AD12A9"/>
    <w:rsid w:val="00AF4FAF"/>
    <w:rsid w:val="00B3446A"/>
    <w:rsid w:val="00B67BF8"/>
    <w:rsid w:val="00B71827"/>
    <w:rsid w:val="00B779A2"/>
    <w:rsid w:val="00B825FA"/>
    <w:rsid w:val="00B83074"/>
    <w:rsid w:val="00B9025C"/>
    <w:rsid w:val="00B9120E"/>
    <w:rsid w:val="00BA4069"/>
    <w:rsid w:val="00BA4622"/>
    <w:rsid w:val="00BC292E"/>
    <w:rsid w:val="00BE5E66"/>
    <w:rsid w:val="00BF66D4"/>
    <w:rsid w:val="00BF7FF4"/>
    <w:rsid w:val="00C23CEE"/>
    <w:rsid w:val="00C37467"/>
    <w:rsid w:val="00C50126"/>
    <w:rsid w:val="00C71A2C"/>
    <w:rsid w:val="00CA0F77"/>
    <w:rsid w:val="00CA3788"/>
    <w:rsid w:val="00CA6521"/>
    <w:rsid w:val="00CC2B12"/>
    <w:rsid w:val="00CD6213"/>
    <w:rsid w:val="00CE0828"/>
    <w:rsid w:val="00CF5F4F"/>
    <w:rsid w:val="00D2342E"/>
    <w:rsid w:val="00DB4353"/>
    <w:rsid w:val="00DB732B"/>
    <w:rsid w:val="00DB7738"/>
    <w:rsid w:val="00DE78D5"/>
    <w:rsid w:val="00E01799"/>
    <w:rsid w:val="00E0532D"/>
    <w:rsid w:val="00E055C8"/>
    <w:rsid w:val="00E12956"/>
    <w:rsid w:val="00E2398A"/>
    <w:rsid w:val="00E33BBC"/>
    <w:rsid w:val="00E4496D"/>
    <w:rsid w:val="00E465E0"/>
    <w:rsid w:val="00E556B8"/>
    <w:rsid w:val="00E65152"/>
    <w:rsid w:val="00E7285C"/>
    <w:rsid w:val="00E80372"/>
    <w:rsid w:val="00E8327B"/>
    <w:rsid w:val="00E8414F"/>
    <w:rsid w:val="00EA2DF2"/>
    <w:rsid w:val="00EB7FF2"/>
    <w:rsid w:val="00ED4D6A"/>
    <w:rsid w:val="00EF2579"/>
    <w:rsid w:val="00F241EC"/>
    <w:rsid w:val="00F2573D"/>
    <w:rsid w:val="00F310C4"/>
    <w:rsid w:val="00F34817"/>
    <w:rsid w:val="00F413F1"/>
    <w:rsid w:val="00F435FB"/>
    <w:rsid w:val="00F45896"/>
    <w:rsid w:val="00F46651"/>
    <w:rsid w:val="00F4719A"/>
    <w:rsid w:val="00F6408E"/>
    <w:rsid w:val="00F70701"/>
    <w:rsid w:val="00F74ECD"/>
    <w:rsid w:val="00F91D32"/>
    <w:rsid w:val="00F93165"/>
    <w:rsid w:val="00F93761"/>
    <w:rsid w:val="00FA297F"/>
    <w:rsid w:val="00FA619F"/>
    <w:rsid w:val="00FD1103"/>
    <w:rsid w:val="00FE7185"/>
    <w:rsid w:val="00FF69B6"/>
    <w:rsid w:val="01850F2C"/>
    <w:rsid w:val="3DFF08C0"/>
    <w:rsid w:val="4D262E8C"/>
    <w:rsid w:val="67D68AD1"/>
    <w:rsid w:val="6DFFFE9D"/>
    <w:rsid w:val="6FED4F11"/>
    <w:rsid w:val="6FEF9D4E"/>
    <w:rsid w:val="7BEFDABB"/>
    <w:rsid w:val="B93F4437"/>
    <w:rsid w:val="F7DD5B2E"/>
    <w:rsid w:val="FF7F9350"/>
    <w:rsid w:val="FFFAC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adjustRightInd/>
      <w:spacing w:line="240" w:lineRule="auto"/>
      <w:ind w:firstLine="720" w:firstLineChars="200"/>
      <w:jc w:val="center"/>
      <w:textAlignment w:val="auto"/>
    </w:pPr>
    <w:rPr>
      <w:rFonts w:ascii="黑体" w:eastAsia="黑体"/>
      <w:kern w:val="2"/>
      <w:sz w:val="36"/>
      <w:szCs w:val="24"/>
    </w:rPr>
  </w:style>
  <w:style w:type="paragraph" w:styleId="3">
    <w:name w:val="Date"/>
    <w:basedOn w:val="1"/>
    <w:next w:val="1"/>
    <w:link w:val="17"/>
    <w:qFormat/>
    <w:uiPriority w:val="0"/>
    <w:pPr>
      <w:ind w:left="100" w:leftChars="2500"/>
    </w:pPr>
  </w:style>
  <w:style w:type="paragraph" w:styleId="4">
    <w:name w:val="Balloon Text"/>
    <w:basedOn w:val="1"/>
    <w:link w:val="18"/>
    <w:qFormat/>
    <w:uiPriority w:val="0"/>
    <w:pPr>
      <w:spacing w:line="240" w:lineRule="auto"/>
    </w:pPr>
    <w:rPr>
      <w:szCs w:val="18"/>
    </w:rPr>
  </w:style>
  <w:style w:type="paragraph" w:styleId="5">
    <w:name w:val="footer"/>
    <w:basedOn w:val="1"/>
    <w:link w:val="14"/>
    <w:qFormat/>
    <w:uiPriority w:val="99"/>
    <w:pPr>
      <w:tabs>
        <w:tab w:val="center" w:pos="4153"/>
        <w:tab w:val="right" w:pos="8306"/>
      </w:tabs>
      <w:spacing w:line="240" w:lineRule="atLeast"/>
      <w:jc w:val="left"/>
    </w:p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tLeast"/>
      <w:jc w:val="center"/>
    </w:pPr>
    <w:rPr>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paragraph" w:customStyle="1" w:styleId="13">
    <w:name w:val="Char"/>
    <w:basedOn w:val="1"/>
    <w:next w:val="1"/>
    <w:qFormat/>
    <w:uiPriority w:val="0"/>
    <w:pPr>
      <w:spacing w:line="240" w:lineRule="atLeast"/>
      <w:ind w:left="420" w:firstLine="420"/>
      <w:jc w:val="left"/>
    </w:pPr>
    <w:rPr>
      <w:szCs w:val="21"/>
    </w:rPr>
  </w:style>
  <w:style w:type="character" w:customStyle="1" w:styleId="14">
    <w:name w:val="页脚 Char"/>
    <w:link w:val="5"/>
    <w:qFormat/>
    <w:locked/>
    <w:uiPriority w:val="99"/>
    <w:rPr>
      <w:rFonts w:eastAsia="仿宋_GB2312"/>
      <w:sz w:val="18"/>
      <w:lang w:val="en-US" w:eastAsia="zh-CN" w:bidi="ar-SA"/>
    </w:rPr>
  </w:style>
  <w:style w:type="character" w:customStyle="1" w:styleId="15">
    <w:name w:val="页眉 Char"/>
    <w:link w:val="6"/>
    <w:qFormat/>
    <w:uiPriority w:val="0"/>
    <w:rPr>
      <w:rFonts w:eastAsia="仿宋_GB2312"/>
      <w:sz w:val="18"/>
      <w:szCs w:val="18"/>
    </w:rPr>
  </w:style>
  <w:style w:type="character" w:customStyle="1" w:styleId="16">
    <w:name w:val="正文文本缩进 Char"/>
    <w:link w:val="2"/>
    <w:qFormat/>
    <w:uiPriority w:val="0"/>
    <w:rPr>
      <w:rFonts w:ascii="黑体" w:eastAsia="黑体"/>
      <w:kern w:val="2"/>
      <w:sz w:val="36"/>
      <w:szCs w:val="24"/>
    </w:rPr>
  </w:style>
  <w:style w:type="character" w:customStyle="1" w:styleId="17">
    <w:name w:val="日期 Char"/>
    <w:link w:val="3"/>
    <w:qFormat/>
    <w:uiPriority w:val="0"/>
    <w:rPr>
      <w:rFonts w:eastAsia="仿宋_GB2312"/>
      <w:sz w:val="18"/>
    </w:rPr>
  </w:style>
  <w:style w:type="character" w:customStyle="1" w:styleId="18">
    <w:name w:val="批注框文本 Char"/>
    <w:link w:val="4"/>
    <w:qFormat/>
    <w:uiPriority w:val="0"/>
    <w:rPr>
      <w:rFonts w:eastAsia="仿宋_GB2312"/>
      <w:sz w:val="18"/>
      <w:szCs w:val="18"/>
    </w:rPr>
  </w:style>
  <w:style w:type="paragraph" w:customStyle="1" w:styleId="19">
    <w:name w:val="Char1 Char Char Char Char Char Char Char Char Char"/>
    <w:basedOn w:val="1"/>
    <w:qFormat/>
    <w:uiPriority w:val="0"/>
    <w:pPr>
      <w:widowControl/>
      <w:adjustRightInd/>
      <w:spacing w:after="160" w:line="240" w:lineRule="exact"/>
      <w:jc w:val="left"/>
      <w:textAlignment w:val="auto"/>
    </w:pPr>
    <w:rPr>
      <w:rFonts w:ascii="Verdana" w:hAnsi="Verdana"/>
      <w:sz w:val="24"/>
      <w:lang w:eastAsia="en-US"/>
    </w:rPr>
  </w:style>
  <w:style w:type="paragraph" w:customStyle="1" w:styleId="20">
    <w:name w:val="Char Char Char Char Char Char Char Char Char Char Char Char1 Char Char Char Char Char Char Char Char Char Char Char Char Char Char Char Char Char Char Char"/>
    <w:basedOn w:val="1"/>
    <w:qFormat/>
    <w:uiPriority w:val="0"/>
    <w:pPr>
      <w:widowControl/>
      <w:adjustRightInd/>
      <w:spacing w:after="160" w:line="240" w:lineRule="exact"/>
      <w:jc w:val="left"/>
      <w:textAlignment w:val="auto"/>
    </w:pPr>
    <w:rPr>
      <w:rFonts w:ascii="Arial" w:hAnsi="Arial" w:eastAsia="Times New Roman" w:cs="Verdana"/>
      <w:b/>
      <w:snapToGrid w:val="0"/>
      <w:sz w:val="24"/>
      <w:lang w:eastAsia="en-US"/>
    </w:rPr>
  </w:style>
  <w:style w:type="paragraph" w:customStyle="1" w:styleId="21">
    <w:name w:val="Char Char Char Char Char Char Char Char1 Char Char Char Char"/>
    <w:basedOn w:val="1"/>
    <w:qFormat/>
    <w:uiPriority w:val="0"/>
    <w:pPr>
      <w:widowControl/>
      <w:adjustRightInd/>
      <w:spacing w:after="160" w:line="240" w:lineRule="exact"/>
      <w:jc w:val="left"/>
      <w:textAlignment w:val="auto"/>
    </w:pPr>
    <w:rPr>
      <w:rFonts w:ascii="Arial" w:hAnsi="Arial" w:eastAsia="Times New Roman" w:cs="Verdana"/>
      <w:b/>
      <w:sz w:val="24"/>
      <w:lang w:eastAsia="en-US"/>
    </w:rPr>
  </w:style>
  <w:style w:type="paragraph" w:customStyle="1" w:styleId="22">
    <w:name w:val="Char1"/>
    <w:basedOn w:val="1"/>
    <w:qFormat/>
    <w:uiPriority w:val="0"/>
    <w:pPr>
      <w:widowControl/>
      <w:adjustRightInd/>
      <w:spacing w:after="160" w:line="240" w:lineRule="exact"/>
      <w:jc w:val="left"/>
      <w:textAlignment w:val="auto"/>
    </w:pPr>
    <w:rPr>
      <w:rFonts w:ascii="Arial" w:hAnsi="Arial" w:eastAsia="Times New Roman" w:cs="Verdana"/>
      <w:b/>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1327</Words>
  <Characters>7564</Characters>
  <Lines>63</Lines>
  <Paragraphs>17</Paragraphs>
  <TotalTime>77</TotalTime>
  <ScaleCrop>false</ScaleCrop>
  <LinksUpToDate>false</LinksUpToDate>
  <CharactersWithSpaces>8874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2021-01-06T16:33:00Z</dcterms:created>
  <dc:creator>AutoBVT</dc:creator>
  <cp:lastModifiedBy>inspur</cp:lastModifiedBy>
  <cp:lastPrinted>2023-08-17T23:55:00Z</cp:lastPrinted>
  <dcterms:modified xsi:type="dcterms:W3CDTF">2023-12-27T15:40:40Z</dcterms:modified>
  <dc:title>关于请提供《中国休闲农业年鉴（2016卷）》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